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spacing w:after="0" w:before="75" w:lineRule="auto"/>
        <w:ind w:left="2617" w:right="2621" w:firstLine="0"/>
        <w:jc w:val="center"/>
        <w:rPr/>
      </w:pPr>
      <w:r w:rsidDel="00000000" w:rsidR="00000000" w:rsidRPr="00000000">
        <w:rPr>
          <w:rtl w:val="0"/>
        </w:rPr>
        <w:t xml:space="preserve">Liceo “G. Cesare – M. Valgimigli” - Rimini</w:t>
      </w:r>
      <w:r w:rsidDel="00000000" w:rsidR="00000000" w:rsidRPr="00000000">
        <mc:AlternateContent>
          <mc:Choice Requires="wps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292100</wp:posOffset>
                </wp:positionV>
                <wp:extent cx="5715" cy="12700"/>
                <wp:effectExtent b="0" l="0" r="0" t="0"/>
                <wp:wrapTopAndBottom distB="0" distT="0"/>
                <wp:docPr id="5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2267820" y="3777480"/>
                          <a:ext cx="6156360" cy="504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292100</wp:posOffset>
                </wp:positionV>
                <wp:extent cx="5715" cy="12700"/>
                <wp:effectExtent b="0" l="0" r="0" t="0"/>
                <wp:wrapTopAndBottom distB="0" distT="0"/>
                <wp:docPr id="5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538" w:right="3540" w:firstLine="0"/>
        <w:jc w:val="center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Scienze Umane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2" w:line="240" w:lineRule="auto"/>
        <w:ind w:left="3613" w:right="3540" w:firstLine="0"/>
        <w:jc w:val="center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Anno scolastico 202</w:t>
      </w:r>
      <w:r w:rsidDel="00000000" w:rsidR="00000000" w:rsidRPr="00000000">
        <w:rPr>
          <w:sz w:val="24"/>
          <w:szCs w:val="24"/>
          <w:rtl w:val="0"/>
        </w:rPr>
        <w:t xml:space="preserve">3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/202</w:t>
      </w:r>
      <w:r w:rsidDel="00000000" w:rsidR="00000000" w:rsidRPr="00000000">
        <w:rPr>
          <w:sz w:val="24"/>
          <w:szCs w:val="24"/>
          <w:rtl w:val="0"/>
        </w:rPr>
        <w:t xml:space="preserve">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50800</wp:posOffset>
                </wp:positionH>
                <wp:positionV relativeFrom="paragraph">
                  <wp:posOffset>101600</wp:posOffset>
                </wp:positionV>
                <wp:extent cx="6273165" cy="215900"/>
                <wp:effectExtent b="0" l="0" r="0" t="0"/>
                <wp:wrapTopAndBottom distB="0" distT="0"/>
                <wp:docPr id="6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2214180" y="3676813"/>
                          <a:ext cx="6263640" cy="2063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18.99999976158142" w:line="240"/>
                              <w:ind w:left="4092.9998779296875" w:right="4095" w:firstLine="4092.9998779296875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PROGRAMMA</w:t>
                            </w:r>
                          </w:p>
                        </w:txbxContent>
                      </wps:txbx>
                      <wps:bodyPr anchorCtr="0" anchor="t" bIns="0" lIns="0" spcFirstLastPara="1" rIns="0" wrap="square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50800</wp:posOffset>
                </wp:positionH>
                <wp:positionV relativeFrom="paragraph">
                  <wp:posOffset>101600</wp:posOffset>
                </wp:positionV>
                <wp:extent cx="6273165" cy="215900"/>
                <wp:effectExtent b="0" l="0" r="0" t="0"/>
                <wp:wrapTopAndBottom distB="0" distT="0"/>
                <wp:docPr id="6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73165" cy="2159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Heading1"/>
        <w:numPr>
          <w:ilvl w:val="0"/>
          <w:numId w:val="1"/>
        </w:numPr>
        <w:tabs>
          <w:tab w:val="left" w:leader="none" w:pos="752"/>
          <w:tab w:val="left" w:leader="none" w:pos="753"/>
        </w:tabs>
        <w:spacing w:after="0" w:before="0" w:line="240" w:lineRule="auto"/>
        <w:ind w:left="752" w:right="0" w:hanging="541"/>
        <w:jc w:val="left"/>
        <w:rPr/>
      </w:pPr>
      <w:r w:rsidDel="00000000" w:rsidR="00000000" w:rsidRPr="00000000">
        <w:rPr>
          <w:rtl w:val="0"/>
        </w:rPr>
        <w:t xml:space="preserve">CLASSE: 4E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52"/>
          <w:tab w:val="left" w:leader="none" w:pos="753"/>
        </w:tabs>
        <w:spacing w:after="0" w:before="118" w:line="240" w:lineRule="auto"/>
        <w:ind w:left="752" w:right="0" w:hanging="541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MATERIA: Storia dell’arte</w:t>
      </w:r>
    </w:p>
    <w:p w:rsidR="00000000" w:rsidDel="00000000" w:rsidP="00000000" w:rsidRDefault="00000000" w:rsidRPr="00000000" w14:paraId="0000000C">
      <w:pPr>
        <w:pStyle w:val="Heading1"/>
        <w:numPr>
          <w:ilvl w:val="0"/>
          <w:numId w:val="1"/>
        </w:numPr>
        <w:tabs>
          <w:tab w:val="left" w:leader="none" w:pos="752"/>
          <w:tab w:val="left" w:leader="none" w:pos="753"/>
        </w:tabs>
        <w:spacing w:after="0" w:before="118" w:line="240" w:lineRule="auto"/>
        <w:ind w:left="752" w:right="0" w:hanging="541"/>
        <w:jc w:val="left"/>
        <w:rPr/>
      </w:pPr>
      <w:r w:rsidDel="00000000" w:rsidR="00000000" w:rsidRPr="00000000">
        <w:rPr>
          <w:rtl w:val="0"/>
        </w:rPr>
        <w:t xml:space="preserve">DOCENTE: Patrizia Alunni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52"/>
          <w:tab w:val="left" w:leader="none" w:pos="753"/>
        </w:tabs>
        <w:spacing w:after="0" w:before="118" w:line="240" w:lineRule="auto"/>
        <w:ind w:left="0" w:right="341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ab/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Testo in adozione: 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C. Bertelli, Invito all’arte, vol. 2, edizione gialla, Dal Gotico </w:t>
        <w:tab/>
        <w:tab/>
        <w:t xml:space="preserve">internazionale all’età barocca, Bruno Mondadori.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13"/>
          <w:szCs w:val="13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Heading1"/>
        <w:spacing w:after="0" w:before="93" w:lineRule="auto"/>
        <w:ind w:left="2617" w:right="2621" w:firstLine="263.0000000000001"/>
        <w:jc w:val="center"/>
        <w:rPr/>
      </w:pPr>
      <w:r w:rsidDel="00000000" w:rsidR="00000000" w:rsidRPr="00000000">
        <w:rPr>
          <w:rtl w:val="0"/>
        </w:rPr>
        <w:t xml:space="preserve">SVOLGIMENTO DEL PROGRAMMA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before="0" w:lineRule="auto"/>
        <w:ind w:left="212" w:right="218" w:firstLine="0"/>
        <w:jc w:val="both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La pittura gotica: </w:t>
      </w:r>
      <w:r w:rsidDel="00000000" w:rsidR="00000000" w:rsidRPr="00000000">
        <w:rPr>
          <w:sz w:val="24"/>
          <w:szCs w:val="24"/>
          <w:rtl w:val="0"/>
        </w:rPr>
        <w:t xml:space="preserve">Cimabue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Crocifiss</w:t>
      </w:r>
      <w:r w:rsidDel="00000000" w:rsidR="00000000" w:rsidRPr="00000000">
        <w:rPr>
          <w:sz w:val="24"/>
          <w:szCs w:val="24"/>
          <w:rtl w:val="0"/>
        </w:rPr>
        <w:t xml:space="preserve">o di Arezzo,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Madonna di Santa Trinita</w:t>
      </w:r>
      <w:r w:rsidDel="00000000" w:rsidR="00000000" w:rsidRPr="00000000">
        <w:rPr>
          <w:sz w:val="24"/>
          <w:szCs w:val="24"/>
          <w:rtl w:val="0"/>
        </w:rPr>
        <w:t xml:space="preserve">; Duccio di Buoninsegna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Madonna Rucellai </w:t>
      </w:r>
      <w:r w:rsidDel="00000000" w:rsidR="00000000" w:rsidRPr="00000000">
        <w:rPr>
          <w:sz w:val="24"/>
          <w:szCs w:val="24"/>
          <w:rtl w:val="0"/>
        </w:rPr>
        <w:t xml:space="preserve">e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Maestà </w:t>
      </w:r>
      <w:r w:rsidDel="00000000" w:rsidR="00000000" w:rsidRPr="00000000">
        <w:rPr>
          <w:sz w:val="24"/>
          <w:szCs w:val="24"/>
          <w:rtl w:val="0"/>
        </w:rPr>
        <w:t xml:space="preserve">di Siena. La tecnica dell’affresco: il cantiere pittorico medievale.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2" w:right="224" w:firstLine="0"/>
        <w:jc w:val="both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rivoluzione pittorica di Giotto: analisi del ciclo della Basilica di San Francesco di Assisi, e degli affreschi della Cappella degli Scrovegni a Padova. Il crocifisso di Santa Maria Novella a confronto con quello del Duomo di Rimini.</w:t>
      </w:r>
    </w:p>
    <w:p w:rsidR="00000000" w:rsidDel="00000000" w:rsidP="00000000" w:rsidRDefault="00000000" w:rsidRPr="00000000" w14:paraId="00000013">
      <w:pPr>
        <w:spacing w:after="0" w:before="0" w:lineRule="auto"/>
        <w:ind w:left="212" w:righ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Simone Martini (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Maestà</w:t>
      </w:r>
      <w:r w:rsidDel="00000000" w:rsidR="00000000" w:rsidRPr="00000000">
        <w:rPr>
          <w:sz w:val="24"/>
          <w:szCs w:val="24"/>
          <w:rtl w:val="0"/>
        </w:rPr>
        <w:t xml:space="preserve">) e Ambrogio Lorenzetti (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Buon Governo a Siena</w:t>
      </w:r>
      <w:r w:rsidDel="00000000" w:rsidR="00000000" w:rsidRPr="00000000">
        <w:rPr>
          <w:sz w:val="24"/>
          <w:szCs w:val="24"/>
          <w:rtl w:val="0"/>
        </w:rPr>
        <w:t xml:space="preserve">)</w:t>
      </w:r>
    </w:p>
    <w:p w:rsidR="00000000" w:rsidDel="00000000" w:rsidP="00000000" w:rsidRDefault="00000000" w:rsidRPr="00000000" w14:paraId="00000014">
      <w:pPr>
        <w:spacing w:after="0" w:before="1" w:lineRule="auto"/>
        <w:ind w:left="212" w:right="217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Gotico internazionale: caratteri generali. Gentile da Fabriano (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Adorazione dei Magi</w:t>
      </w:r>
      <w:r w:rsidDel="00000000" w:rsidR="00000000" w:rsidRPr="00000000">
        <w:rPr>
          <w:sz w:val="24"/>
          <w:szCs w:val="24"/>
          <w:rtl w:val="0"/>
        </w:rPr>
        <w:t xml:space="preserve">) e Pisanello (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San Giorgio e la Principessa</w:t>
      </w:r>
      <w:r w:rsidDel="00000000" w:rsidR="00000000" w:rsidRPr="00000000">
        <w:rPr>
          <w:sz w:val="24"/>
          <w:szCs w:val="24"/>
          <w:rtl w:val="0"/>
        </w:rPr>
        <w:t xml:space="preserve">).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Style w:val="Heading1"/>
        <w:ind w:left="212" w:right="221" w:firstLine="0"/>
        <w:rPr/>
      </w:pPr>
      <w:r w:rsidDel="00000000" w:rsidR="00000000" w:rsidRPr="00000000">
        <w:rPr>
          <w:rtl w:val="0"/>
        </w:rPr>
        <w:t xml:space="preserve">Il Primo Quattrocento: l’invenzione del Rinascimento e la riscoperta del mondo classico</w:t>
      </w:r>
    </w:p>
    <w:p w:rsidR="00000000" w:rsidDel="00000000" w:rsidP="00000000" w:rsidRDefault="00000000" w:rsidRPr="00000000" w14:paraId="00000017">
      <w:pPr>
        <w:spacing w:after="0" w:before="1" w:lineRule="auto"/>
        <w:ind w:left="212" w:right="218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 prospettiva, le proporzioni, l’antico; Brunelleschi (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Il concorso del 1401, lo Spedale degli Innocenti, La cupola di Santa Maria del Fiore, Sagrestia Vecchia</w:t>
      </w:r>
      <w:r w:rsidDel="00000000" w:rsidR="00000000" w:rsidRPr="00000000">
        <w:rPr>
          <w:sz w:val="24"/>
          <w:szCs w:val="24"/>
          <w:rtl w:val="0"/>
        </w:rPr>
        <w:t xml:space="preserve">); Ghiberti (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Porta del Battistero</w:t>
      </w:r>
      <w:r w:rsidDel="00000000" w:rsidR="00000000" w:rsidRPr="00000000">
        <w:rPr>
          <w:sz w:val="24"/>
          <w:szCs w:val="24"/>
          <w:rtl w:val="0"/>
        </w:rPr>
        <w:t xml:space="preserve">, formella con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Sacrificio di Isacco </w:t>
      </w:r>
      <w:r w:rsidDel="00000000" w:rsidR="00000000" w:rsidRPr="00000000">
        <w:rPr>
          <w:sz w:val="24"/>
          <w:szCs w:val="24"/>
          <w:rtl w:val="0"/>
        </w:rPr>
        <w:t xml:space="preserve">a confronto con Brunelleschi);</w:t>
      </w:r>
    </w:p>
    <w:p w:rsidR="00000000" w:rsidDel="00000000" w:rsidP="00000000" w:rsidRDefault="00000000" w:rsidRPr="00000000" w14:paraId="00000018">
      <w:pPr>
        <w:spacing w:after="0" w:before="0" w:lineRule="auto"/>
        <w:ind w:left="212" w:right="226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Donatello (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San Giorgio e il bassorilievo con San Giorgio e il drago, i Profeti Geremia e Abacuc, Il banchetto di Erode, David, il monumento equestre al Gattamelata</w:t>
      </w:r>
      <w:r w:rsidDel="00000000" w:rsidR="00000000" w:rsidRPr="00000000">
        <w:rPr>
          <w:sz w:val="24"/>
          <w:szCs w:val="24"/>
          <w:rtl w:val="0"/>
        </w:rPr>
        <w:t xml:space="preserve">);</w:t>
      </w:r>
    </w:p>
    <w:p w:rsidR="00000000" w:rsidDel="00000000" w:rsidP="00000000" w:rsidRDefault="00000000" w:rsidRPr="00000000" w14:paraId="00000019">
      <w:pPr>
        <w:spacing w:after="0" w:before="0" w:lineRule="auto"/>
        <w:ind w:left="212" w:right="211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Masaccio (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Sant’Anna Metterza, Polittico di Pisa, La Cappella Brancacci </w:t>
      </w:r>
      <w:r w:rsidDel="00000000" w:rsidR="00000000" w:rsidRPr="00000000">
        <w:rPr>
          <w:sz w:val="24"/>
          <w:szCs w:val="24"/>
          <w:rtl w:val="0"/>
        </w:rPr>
        <w:t xml:space="preserve">a Firenze, cfr. tra Masolino e Masaccio,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La Trinità</w:t>
      </w:r>
      <w:r w:rsidDel="00000000" w:rsidR="00000000" w:rsidRPr="00000000">
        <w:rPr>
          <w:sz w:val="24"/>
          <w:szCs w:val="24"/>
          <w:rtl w:val="0"/>
        </w:rPr>
        <w:t xml:space="preserve">).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2" w:right="213" w:firstLine="0"/>
        <w:jc w:val="both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Leon Battista Alberti: i trattati, la teorizzazione della prospettiva, il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Tempio Malatestiano 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Rimini e il committente Sigismondo Pandolfo Malatesta (approfondimento), Palazzo Rucellai, facciata di Santa Maria Novella, chiesa di Sant’Andrea a Mantova.</w:t>
      </w:r>
    </w:p>
    <w:p w:rsidR="00000000" w:rsidDel="00000000" w:rsidP="00000000" w:rsidRDefault="00000000" w:rsidRPr="00000000" w14:paraId="0000001B">
      <w:pPr>
        <w:spacing w:after="0" w:before="0" w:lineRule="auto"/>
        <w:ind w:left="212" w:right="215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 pittura al di là delle Alpi: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Polittico dell’Adorazione dell’Agnello mistico </w:t>
      </w:r>
      <w:r w:rsidDel="00000000" w:rsidR="00000000" w:rsidRPr="00000000">
        <w:rPr>
          <w:sz w:val="24"/>
          <w:szCs w:val="24"/>
          <w:rtl w:val="0"/>
        </w:rPr>
        <w:t xml:space="preserve">di Gand di H. e Jan van Eyck, I coniugi Arnolfini di J. Van Eyck,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Annunciazione </w:t>
      </w:r>
      <w:r w:rsidDel="00000000" w:rsidR="00000000" w:rsidRPr="00000000">
        <w:rPr>
          <w:sz w:val="24"/>
          <w:szCs w:val="24"/>
          <w:rtl w:val="0"/>
        </w:rPr>
        <w:t xml:space="preserve">del Maestro di Flémalle, Deposizione di Rogier van der Weyden.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Style w:val="Heading1"/>
        <w:rPr/>
      </w:pPr>
      <w:r w:rsidDel="00000000" w:rsidR="00000000" w:rsidRPr="00000000">
        <w:rPr>
          <w:rtl w:val="0"/>
        </w:rPr>
        <w:t xml:space="preserve">Il secondo ‘400: l’arte delle Signorie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212" w:right="0" w:firstLine="0"/>
        <w:jc w:val="both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Lo splendore della Signoria Medicea.</w:t>
      </w:r>
    </w:p>
    <w:p w:rsidR="00000000" w:rsidDel="00000000" w:rsidP="00000000" w:rsidRDefault="00000000" w:rsidRPr="00000000" w14:paraId="0000001F">
      <w:pPr>
        <w:spacing w:after="0" w:before="0" w:lineRule="auto"/>
        <w:ind w:left="212" w:right="218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Piero della Francesca, i trattati, il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Battesimo di Cristo</w:t>
      </w:r>
      <w:r w:rsidDel="00000000" w:rsidR="00000000" w:rsidRPr="00000000">
        <w:rPr>
          <w:sz w:val="24"/>
          <w:szCs w:val="24"/>
          <w:rtl w:val="0"/>
        </w:rPr>
        <w:t xml:space="preserve">, la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Flagellazione</w:t>
      </w:r>
      <w:r w:rsidDel="00000000" w:rsidR="00000000" w:rsidRPr="00000000">
        <w:rPr>
          <w:sz w:val="24"/>
          <w:szCs w:val="24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Storie della Vera croce </w:t>
      </w:r>
      <w:r w:rsidDel="00000000" w:rsidR="00000000" w:rsidRPr="00000000">
        <w:rPr>
          <w:sz w:val="24"/>
          <w:szCs w:val="24"/>
          <w:rtl w:val="0"/>
        </w:rPr>
        <w:t xml:space="preserve">ad Arezzo,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Sacra conversazione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0">
      <w:pPr>
        <w:spacing w:after="0" w:before="0" w:lineRule="auto"/>
        <w:ind w:left="212" w:right="0" w:firstLine="0"/>
        <w:jc w:val="both"/>
        <w:rPr>
          <w:sz w:val="24"/>
          <w:szCs w:val="24"/>
        </w:rPr>
        <w:sectPr>
          <w:pgSz w:h="16838" w:w="11906" w:orient="portrait"/>
          <w:pgMar w:bottom="280" w:top="1040" w:left="920" w:right="920" w:header="0" w:footer="0"/>
          <w:pgNumType w:start="1"/>
        </w:sectPr>
      </w:pPr>
      <w:r w:rsidDel="00000000" w:rsidR="00000000" w:rsidRPr="00000000">
        <w:rPr>
          <w:sz w:val="24"/>
          <w:szCs w:val="24"/>
          <w:rtl w:val="0"/>
        </w:rPr>
        <w:t xml:space="preserve">Sandro Botticelli: il disegno,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La nascita di Venere</w:t>
      </w:r>
      <w:r w:rsidDel="00000000" w:rsidR="00000000" w:rsidRPr="00000000">
        <w:rPr>
          <w:sz w:val="24"/>
          <w:szCs w:val="24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La Primavera</w:t>
      </w:r>
      <w:r w:rsidDel="00000000" w:rsidR="00000000" w:rsidRPr="00000000">
        <w:rPr>
          <w:sz w:val="24"/>
          <w:szCs w:val="24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Natività mistica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1">
      <w:pPr>
        <w:spacing w:after="0" w:before="75" w:lineRule="auto"/>
        <w:ind w:left="212" w:right="213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Antonello da Messina: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San Gerolamo nello studiolo, il Ritratto di Giovane uomo e l’Annunciata. Andrea Mantegna: la Camera degli Sposi a Mantova e il Cristo morto. </w:t>
      </w:r>
      <w:r w:rsidDel="00000000" w:rsidR="00000000" w:rsidRPr="00000000">
        <w:rPr>
          <w:sz w:val="24"/>
          <w:szCs w:val="24"/>
          <w:rtl w:val="0"/>
        </w:rPr>
        <w:t xml:space="preserve">Giovanni Bellini: Pala di Pesaro, Pala di San Zaccaria, il ritratto del Doge Loredan.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Style w:val="Heading1"/>
        <w:ind w:left="212" w:right="216" w:firstLine="0"/>
        <w:rPr>
          <w:sz w:val="24"/>
          <w:szCs w:val="24"/>
        </w:rPr>
      </w:pPr>
      <w:r w:rsidDel="00000000" w:rsidR="00000000" w:rsidRPr="00000000">
        <w:rPr>
          <w:rtl w:val="0"/>
        </w:rPr>
        <w:t xml:space="preserve">Rinascimento maturo fiorentino: il Cinquecento. Le grandi personalità della Terza Maniera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2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Giorgio Vasari: le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Vite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2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Bramante. Tempietto di San Pietro in Montorio in relazione al dipinto di Raffaello lo</w:t>
      </w:r>
    </w:p>
    <w:p w:rsidR="00000000" w:rsidDel="00000000" w:rsidP="00000000" w:rsidRDefault="00000000" w:rsidRPr="00000000" w14:paraId="00000026">
      <w:pPr>
        <w:spacing w:after="0" w:before="1" w:lineRule="auto"/>
        <w:ind w:left="212" w:right="0" w:firstLine="0"/>
        <w:jc w:val="both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Sposalizio della Vergine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7">
      <w:pPr>
        <w:spacing w:after="0" w:before="0" w:lineRule="auto"/>
        <w:ind w:left="212" w:right="211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Leonardo: il disegno, i codici, la fisiognomica, l’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Annunciazione</w:t>
      </w:r>
      <w:r w:rsidDel="00000000" w:rsidR="00000000" w:rsidRPr="00000000">
        <w:rPr>
          <w:sz w:val="24"/>
          <w:szCs w:val="24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Battesimo di Cristo</w:t>
      </w:r>
      <w:r w:rsidDel="00000000" w:rsidR="00000000" w:rsidRPr="00000000">
        <w:rPr>
          <w:sz w:val="24"/>
          <w:szCs w:val="24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Adorazione dei pastori</w:t>
      </w:r>
      <w:r w:rsidDel="00000000" w:rsidR="00000000" w:rsidRPr="00000000">
        <w:rPr>
          <w:sz w:val="24"/>
          <w:szCs w:val="24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La Vergine delle rocce</w:t>
      </w:r>
      <w:r w:rsidDel="00000000" w:rsidR="00000000" w:rsidRPr="00000000">
        <w:rPr>
          <w:sz w:val="24"/>
          <w:szCs w:val="24"/>
          <w:rtl w:val="0"/>
        </w:rPr>
        <w:t xml:space="preserve">, il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Cenacolo</w:t>
      </w:r>
      <w:r w:rsidDel="00000000" w:rsidR="00000000" w:rsidRPr="00000000">
        <w:rPr>
          <w:sz w:val="24"/>
          <w:szCs w:val="24"/>
          <w:rtl w:val="0"/>
        </w:rPr>
        <w:t xml:space="preserve">, la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Gioconda</w:t>
      </w:r>
      <w:r w:rsidDel="00000000" w:rsidR="00000000" w:rsidRPr="00000000">
        <w:rPr>
          <w:sz w:val="24"/>
          <w:szCs w:val="24"/>
          <w:rtl w:val="0"/>
        </w:rPr>
        <w:t xml:space="preserve">, il cartone di Sant’Anna.</w:t>
      </w:r>
    </w:p>
    <w:p w:rsidR="00000000" w:rsidDel="00000000" w:rsidP="00000000" w:rsidRDefault="00000000" w:rsidRPr="00000000" w14:paraId="00000028">
      <w:pPr>
        <w:spacing w:after="0" w:before="0" w:lineRule="auto"/>
        <w:ind w:left="212" w:right="85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Michelangelo pittore: il disegno,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Tondo Doni, Cappella Sistina, volta e Giudizio</w:t>
      </w:r>
      <w:r w:rsidDel="00000000" w:rsidR="00000000" w:rsidRPr="00000000">
        <w:rPr>
          <w:sz w:val="24"/>
          <w:szCs w:val="24"/>
          <w:rtl w:val="0"/>
        </w:rPr>
        <w:t xml:space="preserve">. Michelangelo scultore: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Pietà di San Pietro, David, la Tomba di Giulio II </w:t>
      </w:r>
      <w:r w:rsidDel="00000000" w:rsidR="00000000" w:rsidRPr="00000000">
        <w:rPr>
          <w:sz w:val="24"/>
          <w:szCs w:val="24"/>
          <w:rtl w:val="0"/>
        </w:rPr>
        <w:t xml:space="preserve">(il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Mosè</w:t>
      </w:r>
      <w:r w:rsidDel="00000000" w:rsidR="00000000" w:rsidRPr="00000000">
        <w:rPr>
          <w:sz w:val="24"/>
          <w:szCs w:val="24"/>
          <w:rtl w:val="0"/>
        </w:rPr>
        <w:t xml:space="preserve">), le ultime Pietà (Bandini e Rondanini).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2" w:right="218" w:firstLine="0"/>
        <w:jc w:val="both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Raffaello: il disegno, Sposalizio della Vergine a confronto con Perugino, la Madonna del Belvedere e Madonna del Cardellino, Pala Baglioni, le Stanze Vaticane, analisi della Scuola di Atene.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2" w:right="219" w:firstLine="0"/>
        <w:jc w:val="both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pittura tonale: Giorgione, La tempesta, La Venere dormiente in confronto alla Venere di Urbino di Tiziano. Tiziano, la Pala dell’Assunta.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Style w:val="Heading1"/>
        <w:rPr>
          <w:sz w:val="24"/>
          <w:szCs w:val="24"/>
        </w:rPr>
      </w:pPr>
      <w:r w:rsidDel="00000000" w:rsidR="00000000" w:rsidRPr="00000000">
        <w:rPr>
          <w:rtl w:val="0"/>
        </w:rPr>
        <w:t xml:space="preserve">Il Manierismo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212" w:right="213" w:firstLine="0"/>
        <w:jc w:val="both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Caratteristiche generali: la diaspora degli artisti. Pontormo e Rosso Fiorentino (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Deposizioni 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confronto).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before="0" w:lineRule="auto"/>
        <w:ind w:left="212" w:right="0" w:firstLine="0"/>
        <w:jc w:val="both"/>
        <w:rPr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Educazione civica: </w:t>
      </w:r>
      <w:r w:rsidDel="00000000" w:rsidR="00000000" w:rsidRPr="00000000">
        <w:rPr>
          <w:sz w:val="24"/>
          <w:szCs w:val="24"/>
          <w:rtl w:val="0"/>
        </w:rPr>
        <w:t xml:space="preserve">il Museo come luogo di conservazione, studio e riscoperta.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0" w:line="240" w:lineRule="auto"/>
        <w:ind w:left="212" w:right="0" w:firstLine="0"/>
        <w:jc w:val="both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294"/>
        </w:tabs>
        <w:spacing w:after="0" w:before="0" w:line="240" w:lineRule="auto"/>
        <w:ind w:left="212" w:right="0" w:firstLine="0"/>
        <w:jc w:val="both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docente</w:t>
        <w:tab/>
        <w:t xml:space="preserve">Gli studenti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241300</wp:posOffset>
                </wp:positionH>
                <wp:positionV relativeFrom="paragraph">
                  <wp:posOffset>177800</wp:posOffset>
                </wp:positionV>
                <wp:extent cx="0" cy="14025"/>
                <wp:effectExtent b="0" l="0" r="0" t="0"/>
                <wp:wrapTopAndBottom distB="0" distT="0"/>
                <wp:docPr id="4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5423788" y="3780000"/>
                          <a:ext cx="1012825" cy="0"/>
                        </a:xfrm>
                        <a:custGeom>
                          <a:rect b="b" l="l" r="r" t="t"/>
                          <a:pathLst>
                            <a:path extrusionOk="0" h="1" w="1012825">
                              <a:moveTo>
                                <a:pt x="0" y="0"/>
                              </a:moveTo>
                              <a:lnTo>
                                <a:pt x="335570" y="0"/>
                              </a:lnTo>
                              <a:close/>
                              <a:moveTo>
                                <a:pt x="337008" y="0"/>
                              </a:moveTo>
                              <a:lnTo>
                                <a:pt x="505693" y="0"/>
                              </a:lnTo>
                              <a:close/>
                              <a:moveTo>
                                <a:pt x="506772" y="0"/>
                              </a:moveTo>
                              <a:lnTo>
                                <a:pt x="759259" y="0"/>
                              </a:lnTo>
                              <a:close/>
                              <a:moveTo>
                                <a:pt x="760697" y="0"/>
                              </a:moveTo>
                              <a:lnTo>
                                <a:pt x="10124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40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241300</wp:posOffset>
                </wp:positionH>
                <wp:positionV relativeFrom="paragraph">
                  <wp:posOffset>177800</wp:posOffset>
                </wp:positionV>
                <wp:extent cx="0" cy="14025"/>
                <wp:effectExtent b="0" l="0" r="0" t="0"/>
                <wp:wrapTopAndBottom distB="0" distT="0"/>
                <wp:docPr id="4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40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4648200</wp:posOffset>
                </wp:positionH>
                <wp:positionV relativeFrom="paragraph">
                  <wp:posOffset>177800</wp:posOffset>
                </wp:positionV>
                <wp:extent cx="0" cy="14025"/>
                <wp:effectExtent b="0" l="0" r="0" t="0"/>
                <wp:wrapTopAndBottom distB="0" distT="0"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5383148" y="3780000"/>
                          <a:ext cx="1094105" cy="0"/>
                        </a:xfrm>
                        <a:custGeom>
                          <a:rect b="b" l="l" r="r" t="t"/>
                          <a:pathLst>
                            <a:path extrusionOk="0" h="1" w="1094105">
                              <a:moveTo>
                                <a:pt x="0" y="0"/>
                              </a:moveTo>
                              <a:lnTo>
                                <a:pt x="586423" y="0"/>
                              </a:lnTo>
                              <a:close/>
                              <a:moveTo>
                                <a:pt x="587861" y="0"/>
                              </a:moveTo>
                              <a:lnTo>
                                <a:pt x="756489" y="0"/>
                              </a:lnTo>
                              <a:close/>
                              <a:moveTo>
                                <a:pt x="757927" y="0"/>
                              </a:moveTo>
                              <a:lnTo>
                                <a:pt x="10937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140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4648200</wp:posOffset>
                </wp:positionH>
                <wp:positionV relativeFrom="paragraph">
                  <wp:posOffset>177800</wp:posOffset>
                </wp:positionV>
                <wp:extent cx="0" cy="14025"/>
                <wp:effectExtent b="0" l="0" r="0" t="0"/>
                <wp:wrapTopAndBottom distB="0" distT="0"/>
                <wp:docPr id="3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40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type w:val="nextPage"/>
      <w:pgSz w:h="16838" w:w="11906" w:orient="portrait"/>
      <w:pgMar w:bottom="280" w:top="1040" w:left="920" w:right="920" w:header="0" w:footer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Noto Sans Symbols">
    <w:embedRegular w:fontKey="{00000000-0000-0000-0000-000000000000}" r:id="rId1" w:subsetted="0"/>
    <w:embedBold w:fontKey="{00000000-0000-0000-0000-000000000000}" r:id="rId2" w:subsetted="0"/>
  </w:font>
  <w:font w:name="Arial M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0"/>
      <w:numFmt w:val="bullet"/>
      <w:lvlText w:val="●"/>
      <w:lvlJc w:val="left"/>
      <w:pPr>
        <w:ind w:left="2913" w:hanging="540"/>
      </w:pPr>
      <w:rPr>
        <w:rFonts w:ascii="Noto Sans Symbols" w:cs="Noto Sans Symbols" w:eastAsia="Noto Sans Symbols" w:hAnsi="Noto Sans Symbols"/>
        <w:sz w:val="24"/>
        <w:szCs w:val="24"/>
      </w:rPr>
    </w:lvl>
    <w:lvl w:ilvl="1">
      <w:start w:val="0"/>
      <w:numFmt w:val="bullet"/>
      <w:lvlText w:val="●"/>
      <w:lvlJc w:val="left"/>
      <w:pPr>
        <w:ind w:left="3634" w:hanging="540"/>
      </w:pPr>
      <w:rPr>
        <w:rFonts w:ascii="Noto Sans Symbols" w:cs="Noto Sans Symbols" w:eastAsia="Noto Sans Symbols" w:hAnsi="Noto Sans Symbols"/>
      </w:rPr>
    </w:lvl>
    <w:lvl w:ilvl="2">
      <w:start w:val="0"/>
      <w:numFmt w:val="bullet"/>
      <w:lvlText w:val="●"/>
      <w:lvlJc w:val="left"/>
      <w:pPr>
        <w:ind w:left="4349" w:hanging="540"/>
      </w:pPr>
      <w:rPr>
        <w:rFonts w:ascii="Noto Sans Symbols" w:cs="Noto Sans Symbols" w:eastAsia="Noto Sans Symbols" w:hAnsi="Noto Sans Symbols"/>
      </w:rPr>
    </w:lvl>
    <w:lvl w:ilvl="3">
      <w:start w:val="0"/>
      <w:numFmt w:val="bullet"/>
      <w:lvlText w:val="●"/>
      <w:lvlJc w:val="left"/>
      <w:pPr>
        <w:ind w:left="5064" w:hanging="540"/>
      </w:pPr>
      <w:rPr>
        <w:rFonts w:ascii="Noto Sans Symbols" w:cs="Noto Sans Symbols" w:eastAsia="Noto Sans Symbols" w:hAnsi="Noto Sans Symbols"/>
      </w:rPr>
    </w:lvl>
    <w:lvl w:ilvl="4">
      <w:start w:val="0"/>
      <w:numFmt w:val="bullet"/>
      <w:lvlText w:val="●"/>
      <w:lvlJc w:val="left"/>
      <w:pPr>
        <w:ind w:left="5779" w:hanging="540"/>
      </w:pPr>
      <w:rPr>
        <w:rFonts w:ascii="Noto Sans Symbols" w:cs="Noto Sans Symbols" w:eastAsia="Noto Sans Symbols" w:hAnsi="Noto Sans Symbols"/>
      </w:rPr>
    </w:lvl>
    <w:lvl w:ilvl="5">
      <w:start w:val="0"/>
      <w:numFmt w:val="bullet"/>
      <w:lvlText w:val="●"/>
      <w:lvlJc w:val="left"/>
      <w:pPr>
        <w:ind w:left="6494" w:hanging="540"/>
      </w:pPr>
      <w:rPr>
        <w:rFonts w:ascii="Noto Sans Symbols" w:cs="Noto Sans Symbols" w:eastAsia="Noto Sans Symbols" w:hAnsi="Noto Sans Symbols"/>
      </w:rPr>
    </w:lvl>
    <w:lvl w:ilvl="6">
      <w:start w:val="0"/>
      <w:numFmt w:val="bullet"/>
      <w:lvlText w:val="●"/>
      <w:lvlJc w:val="left"/>
      <w:pPr>
        <w:ind w:left="7208" w:hanging="540"/>
      </w:pPr>
      <w:rPr>
        <w:rFonts w:ascii="Noto Sans Symbols" w:cs="Noto Sans Symbols" w:eastAsia="Noto Sans Symbols" w:hAnsi="Noto Sans Symbols"/>
      </w:rPr>
    </w:lvl>
    <w:lvl w:ilvl="7">
      <w:start w:val="0"/>
      <w:numFmt w:val="bullet"/>
      <w:lvlText w:val="●"/>
      <w:lvlJc w:val="left"/>
      <w:pPr>
        <w:ind w:left="7923" w:hanging="540"/>
      </w:pPr>
      <w:rPr>
        <w:rFonts w:ascii="Noto Sans Symbols" w:cs="Noto Sans Symbols" w:eastAsia="Noto Sans Symbols" w:hAnsi="Noto Sans Symbols"/>
      </w:rPr>
    </w:lvl>
    <w:lvl w:ilvl="8">
      <w:start w:val="0"/>
      <w:numFmt w:val="bullet"/>
      <w:lvlText w:val="●"/>
      <w:lvlJc w:val="left"/>
      <w:pPr>
        <w:ind w:left="8638" w:hanging="54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 MT" w:cs="Arial MT" w:eastAsia="Arial MT" w:hAnsi="Arial MT"/>
        <w:sz w:val="22"/>
        <w:szCs w:val="22"/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ind w:left="212" w:right="0" w:firstLine="0"/>
      <w:jc w:val="both"/>
    </w:pPr>
    <w:rPr>
      <w:rFonts w:ascii="Arial" w:cs="Arial" w:eastAsia="Arial" w:hAnsi="Arial"/>
      <w:b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uiPriority w:val="1"/>
    <w:qFormat w:val="1"/>
    <w:pPr>
      <w:widowControl w:val="0"/>
      <w:bidi w:val="0"/>
      <w:spacing w:after="0" w:before="0" w:line="240" w:lineRule="auto"/>
      <w:ind w:left="0" w:right="0" w:hanging="0"/>
      <w:jc w:val="left"/>
    </w:pPr>
    <w:rPr>
      <w:rFonts w:ascii="Arial MT" w:cs="Arial MT" w:eastAsia="Arial MT" w:hAnsi="Arial MT"/>
      <w:color w:val="auto"/>
      <w:kern w:val="0"/>
      <w:sz w:val="22"/>
      <w:szCs w:val="22"/>
      <w:lang w:bidi="ar-SA" w:eastAsia="en-US" w:val="it-IT"/>
    </w:rPr>
  </w:style>
  <w:style w:type="paragraph" w:styleId="Titolo1">
    <w:name w:val="Heading 1"/>
    <w:basedOn w:val="Normal"/>
    <w:uiPriority w:val="1"/>
    <w:qFormat w:val="1"/>
    <w:pPr>
      <w:ind w:left="212" w:right="0" w:hanging="0"/>
      <w:jc w:val="both"/>
      <w:outlineLvl w:val="1"/>
    </w:pPr>
    <w:rPr>
      <w:rFonts w:ascii="Arial" w:cs="Arial" w:eastAsia="Arial" w:hAnsi="Arial"/>
      <w:b w:val="1"/>
      <w:bCs w:val="1"/>
      <w:sz w:val="24"/>
      <w:szCs w:val="24"/>
      <w:lang w:bidi="ar-SA" w:eastAsia="en-US" w:val="it-IT"/>
    </w:rPr>
  </w:style>
  <w:style w:type="character" w:styleId="DefaultParagraphFont" w:default="1">
    <w:name w:val="Default Paragraph Font"/>
    <w:uiPriority w:val="1"/>
    <w:semiHidden w:val="1"/>
    <w:unhideWhenUsed w:val="1"/>
    <w:qFormat w:val="1"/>
    <w:rPr/>
  </w:style>
  <w:style w:type="paragraph" w:styleId="Titolo">
    <w:name w:val="Titolo"/>
    <w:basedOn w:val="Normal"/>
    <w:next w:val="Corpodeltesto"/>
    <w:qFormat w:val="1"/>
    <w:pPr>
      <w:keepNext w:val="1"/>
      <w:spacing w:after="120" w:before="240"/>
    </w:pPr>
    <w:rPr>
      <w:rFonts w:ascii="Liberation Sans" w:cs="Mangal" w:eastAsia="Microsoft YaHei" w:hAnsi="Liberation Sans"/>
      <w:sz w:val="28"/>
      <w:szCs w:val="28"/>
    </w:rPr>
  </w:style>
  <w:style w:type="paragraph" w:styleId="Corpodeltesto">
    <w:name w:val="Body Text"/>
    <w:basedOn w:val="Normal"/>
    <w:uiPriority w:val="1"/>
    <w:qFormat w:val="1"/>
    <w:pPr/>
    <w:rPr>
      <w:rFonts w:ascii="Arial MT" w:cs="Arial MT" w:eastAsia="Arial MT" w:hAnsi="Arial MT"/>
      <w:sz w:val="24"/>
      <w:szCs w:val="24"/>
      <w:lang w:bidi="ar-SA" w:eastAsia="en-US" w:val="it-IT"/>
    </w:rPr>
  </w:style>
  <w:style w:type="paragraph" w:styleId="Elenco">
    <w:name w:val="List"/>
    <w:basedOn w:val="Corpodeltesto"/>
    <w:pPr/>
    <w:rPr>
      <w:rFonts w:cs="Mangal"/>
    </w:rPr>
  </w:style>
  <w:style w:type="paragraph" w:styleId="Didascalia">
    <w:name w:val="Caption"/>
    <w:basedOn w:val="Normal"/>
    <w:qFormat w:val="1"/>
    <w:pPr>
      <w:suppressLineNumbers w:val="1"/>
      <w:spacing w:after="120" w:before="120"/>
    </w:pPr>
    <w:rPr>
      <w:rFonts w:cs="Mangal"/>
      <w:i w:val="1"/>
      <w:iCs w:val="1"/>
      <w:sz w:val="24"/>
      <w:szCs w:val="24"/>
    </w:rPr>
  </w:style>
  <w:style w:type="paragraph" w:styleId="Indice">
    <w:name w:val="Indice"/>
    <w:basedOn w:val="Normal"/>
    <w:qFormat w:val="1"/>
    <w:pPr>
      <w:suppressLineNumbers w:val="1"/>
    </w:pPr>
    <w:rPr>
      <w:rFonts w:cs="Mangal"/>
      <w:lang w:bidi="zxx" w:eastAsia="zxx" w:val="zxx"/>
    </w:rPr>
  </w:style>
  <w:style w:type="paragraph" w:styleId="ListParagraph">
    <w:name w:val="List Paragraph"/>
    <w:basedOn w:val="Normal"/>
    <w:uiPriority w:val="1"/>
    <w:qFormat w:val="1"/>
    <w:pPr>
      <w:spacing w:after="0" w:before="118"/>
      <w:ind w:left="752" w:right="0" w:hanging="541"/>
    </w:pPr>
    <w:rPr>
      <w:rFonts w:ascii="Arial" w:cs="Arial" w:eastAsia="Arial" w:hAnsi="Arial"/>
      <w:lang w:bidi="ar-SA" w:eastAsia="en-US" w:val="it-IT"/>
    </w:rPr>
  </w:style>
  <w:style w:type="paragraph" w:styleId="TableParagraph">
    <w:name w:val="Table Paragraph"/>
    <w:basedOn w:val="Normal"/>
    <w:uiPriority w:val="1"/>
    <w:qFormat w:val="1"/>
    <w:pPr/>
    <w:rPr>
      <w:lang w:bidi="ar-SA" w:eastAsia="en-US" w:val="it-IT"/>
    </w:rPr>
  </w:style>
  <w:style w:type="paragraph" w:styleId="Contenutocornice">
    <w:name w:val="Contenuto cornice"/>
    <w:basedOn w:val="Normal"/>
    <w:qFormat w:val="1"/>
    <w:pPr/>
    <w:rPr/>
  </w:style>
  <w:style w:type="numbering" w:styleId="NoList" w:default="1">
    <w:name w:val="No List"/>
    <w:uiPriority w:val="99"/>
    <w:semiHidden w:val="1"/>
    <w:unhideWhenUsed w:val="1"/>
    <w:qFormat w:val="1"/>
  </w:style>
  <w:style w:type="table" w:styleId="TableNormal" w:default="1">
    <w:name w:val="Table Normal"/>
    <w:uiPriority w:val="2"/>
    <w:semiHidden w:val="1"/>
    <w:unhideWhenUsed w:val="1"/>
    <w:qFormat w:val="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image" Target="media/image1.png"/><Relationship Id="rId9" Type="http://schemas.openxmlformats.org/officeDocument/2006/relationships/image" Target="media/image2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3.png"/><Relationship Id="rId8" Type="http://schemas.openxmlformats.org/officeDocument/2006/relationships/image" Target="media/image4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bj0dSpbzJkiQpQHi4qzKE2LHzhQ==">CgMxLjA4AHIhMUhQVkRSRnlrTTdobnh3dkFGUlZnTklKUXFjNklwZmxa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2023-05-19T07:28:04Z</dcterms:created>
  <dc:creator>MARINI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2022-05-23T00:00:00Z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2023-05-19T00:00:00Z</vt:filetime>
  </property>
</Properties>
</file>