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75" w:lineRule="auto"/>
        <w:ind w:left="2617" w:right="2621" w:firstLine="0"/>
        <w:jc w:val="center"/>
        <w:rPr/>
      </w:pPr>
      <w:r w:rsidDel="00000000" w:rsidR="00000000" w:rsidRPr="00000000">
        <w:rPr>
          <w:rtl w:val="0"/>
        </w:rPr>
        <w:t xml:space="preserve">Liceo “G. Cesare – M. Valgimigli” - Rimini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5715" cy="12700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7820" y="3777480"/>
                          <a:ext cx="6156360" cy="50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5715" cy="12700"/>
                <wp:effectExtent b="0" l="0" r="0" t="0"/>
                <wp:wrapTopAndBottom distB="0" distT="0"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38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Scienze Umane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3613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6273165" cy="215900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14180" y="3676813"/>
                          <a:ext cx="6263640" cy="206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4092.9998779296875" w:right="4095" w:firstLine="4092.9998779296875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PROGRAMMA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6273165" cy="215900"/>
                <wp:effectExtent b="0" l="0" r="0" t="0"/>
                <wp:wrapTopAndBottom distB="0" distT="0"/>
                <wp:docPr id="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316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0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CLASSE: 4C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Storia dell’arte</w:t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DOCENTE: Patrizia Alunni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0" w:right="341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sz w:val="24"/>
          <w:szCs w:val="24"/>
          <w:rtl w:val="0"/>
        </w:rPr>
        <w:t xml:space="preserve">Cricco - Di Teodoro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Itinerario nell’arte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vol. 2, quinta edizione, Dal Gotico internazionale all’età barocca,</w:t>
      </w:r>
      <w:r w:rsidDel="00000000" w:rsidR="00000000" w:rsidRPr="00000000">
        <w:rPr>
          <w:sz w:val="24"/>
          <w:szCs w:val="24"/>
          <w:rtl w:val="0"/>
        </w:rPr>
        <w:t xml:space="preserve"> Zanichelli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spacing w:after="0" w:before="93" w:lineRule="auto"/>
        <w:ind w:left="2617" w:right="2621" w:firstLine="0"/>
        <w:jc w:val="center"/>
        <w:rPr/>
      </w:pPr>
      <w:r w:rsidDel="00000000" w:rsidR="00000000" w:rsidRPr="00000000">
        <w:rPr>
          <w:rtl w:val="0"/>
        </w:rPr>
        <w:t xml:space="preserve">SVOLGIMENTO DEL PROGRAMMA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ind w:left="212" w:right="218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 pittura gotica: </w:t>
      </w:r>
      <w:r w:rsidDel="00000000" w:rsidR="00000000" w:rsidRPr="00000000">
        <w:rPr>
          <w:sz w:val="24"/>
          <w:szCs w:val="24"/>
          <w:rtl w:val="0"/>
        </w:rPr>
        <w:t xml:space="preserve">Cimabue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Crocifiss</w:t>
      </w:r>
      <w:r w:rsidDel="00000000" w:rsidR="00000000" w:rsidRPr="00000000">
        <w:rPr>
          <w:sz w:val="24"/>
          <w:szCs w:val="24"/>
          <w:rtl w:val="0"/>
        </w:rPr>
        <w:t xml:space="preserve">o di Arezzo,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Madonna di Santa Trinita</w:t>
      </w:r>
      <w:r w:rsidDel="00000000" w:rsidR="00000000" w:rsidRPr="00000000">
        <w:rPr>
          <w:sz w:val="24"/>
          <w:szCs w:val="24"/>
          <w:rtl w:val="0"/>
        </w:rPr>
        <w:t xml:space="preserve">; Duccio di Buoninsegna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Madonna Rucellai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Maestà </w:t>
      </w:r>
      <w:r w:rsidDel="00000000" w:rsidR="00000000" w:rsidRPr="00000000">
        <w:rPr>
          <w:sz w:val="24"/>
          <w:szCs w:val="24"/>
          <w:rtl w:val="0"/>
        </w:rPr>
        <w:t xml:space="preserve">di Siena. La tecnica dell’affresco: il cantiere pittorico medievale.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24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rivoluzione pittorica di Giotto: analisi del ciclo della Basilica di San Francesco di Assisi, e degli affreschi della Cappella degli Scrovegni a Padova. Il crocifisso di Santa Maria Novella a confronto con quello del Duomo di Rimini.</w:t>
      </w:r>
    </w:p>
    <w:p w:rsidR="00000000" w:rsidDel="00000000" w:rsidP="00000000" w:rsidRDefault="00000000" w:rsidRPr="00000000" w14:paraId="00000013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Simone Martini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Maestà</w:t>
      </w:r>
      <w:r w:rsidDel="00000000" w:rsidR="00000000" w:rsidRPr="00000000">
        <w:rPr>
          <w:sz w:val="24"/>
          <w:szCs w:val="24"/>
          <w:rtl w:val="0"/>
        </w:rPr>
        <w:t xml:space="preserve">) e Ambrogio Lorenzetti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Buon Governo a Siena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4">
      <w:pPr>
        <w:spacing w:after="0" w:before="1" w:lineRule="auto"/>
        <w:ind w:left="212" w:right="21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Gotico internazionale: caratteri generali. Gentile da Fabriano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Adorazione dei Magi</w:t>
      </w:r>
      <w:r w:rsidDel="00000000" w:rsidR="00000000" w:rsidRPr="00000000">
        <w:rPr>
          <w:sz w:val="24"/>
          <w:szCs w:val="24"/>
          <w:rtl w:val="0"/>
        </w:rPr>
        <w:t xml:space="preserve">) e Pisanello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Giorgio e la Principessa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ind w:left="212" w:right="221" w:firstLine="0"/>
        <w:rPr/>
      </w:pPr>
      <w:r w:rsidDel="00000000" w:rsidR="00000000" w:rsidRPr="00000000">
        <w:rPr>
          <w:rtl w:val="0"/>
        </w:rPr>
        <w:t xml:space="preserve">Il Primo Quattrocento: l’invenzione del Rinascimento e la riscoperta del mondo classico</w:t>
      </w:r>
    </w:p>
    <w:p w:rsidR="00000000" w:rsidDel="00000000" w:rsidP="00000000" w:rsidRDefault="00000000" w:rsidRPr="00000000" w14:paraId="00000017">
      <w:pPr>
        <w:spacing w:after="0" w:before="1" w:lineRule="auto"/>
        <w:ind w:left="212" w:right="21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prospettiva, le proporzioni, l’antico; Brunelleschi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Il concorso del 1401, lo Spedale degli Innocenti, La cupola di Santa Maria del Fiore, Sagrestia Vecchia</w:t>
      </w:r>
      <w:r w:rsidDel="00000000" w:rsidR="00000000" w:rsidRPr="00000000">
        <w:rPr>
          <w:sz w:val="24"/>
          <w:szCs w:val="24"/>
          <w:rtl w:val="0"/>
        </w:rPr>
        <w:t xml:space="preserve">); Ghiberti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Porta del Battistero</w:t>
      </w:r>
      <w:r w:rsidDel="00000000" w:rsidR="00000000" w:rsidRPr="00000000">
        <w:rPr>
          <w:sz w:val="24"/>
          <w:szCs w:val="24"/>
          <w:rtl w:val="0"/>
        </w:rPr>
        <w:t xml:space="preserve">, formella con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Sacrificio di Isacco </w:t>
      </w:r>
      <w:r w:rsidDel="00000000" w:rsidR="00000000" w:rsidRPr="00000000">
        <w:rPr>
          <w:sz w:val="24"/>
          <w:szCs w:val="24"/>
          <w:rtl w:val="0"/>
        </w:rPr>
        <w:t xml:space="preserve">a confronto con Brunelleschi);</w:t>
      </w:r>
    </w:p>
    <w:p w:rsidR="00000000" w:rsidDel="00000000" w:rsidP="00000000" w:rsidRDefault="00000000" w:rsidRPr="00000000" w14:paraId="00000018">
      <w:pPr>
        <w:spacing w:after="0" w:before="0" w:lineRule="auto"/>
        <w:ind w:left="212" w:right="226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Donatello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Giorgio e il bassorilievo con San Giorgio e il drago, i Profeti Geremia e Abacuc, Il banchetto di Erode, David, il monumento equestre al Gattamelata</w:t>
      </w:r>
      <w:r w:rsidDel="00000000" w:rsidR="00000000" w:rsidRPr="00000000">
        <w:rPr>
          <w:sz w:val="24"/>
          <w:szCs w:val="24"/>
          <w:rtl w:val="0"/>
        </w:rPr>
        <w:t xml:space="preserve">);</w:t>
      </w:r>
    </w:p>
    <w:p w:rsidR="00000000" w:rsidDel="00000000" w:rsidP="00000000" w:rsidRDefault="00000000" w:rsidRPr="00000000" w14:paraId="00000019">
      <w:pPr>
        <w:spacing w:after="0" w:before="0" w:lineRule="auto"/>
        <w:ind w:left="212" w:right="21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Masaccio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Sant’Anna Metterza, Polittico di Pisa, La Cappella Brancacci </w:t>
      </w:r>
      <w:r w:rsidDel="00000000" w:rsidR="00000000" w:rsidRPr="00000000">
        <w:rPr>
          <w:sz w:val="24"/>
          <w:szCs w:val="24"/>
          <w:rtl w:val="0"/>
        </w:rPr>
        <w:t xml:space="preserve">a Firenze, cfr. tra Masolino e Masaccio,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Trinità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Leon Battista Alberti: i trattati, la teorizzazione della prospettiva,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Tempio Malatestiano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Rimini e il committente Sigismondo Pandolfo Malatesta (approfondimento), Palazzo Rucellai, facciata di Santa Maria Novella, chiesa di Sant’Andrea a Mantova.</w:t>
      </w:r>
    </w:p>
    <w:p w:rsidR="00000000" w:rsidDel="00000000" w:rsidP="00000000" w:rsidRDefault="00000000" w:rsidRPr="00000000" w14:paraId="0000001B">
      <w:pPr>
        <w:spacing w:after="0" w:before="0" w:lineRule="auto"/>
        <w:ind w:left="212" w:right="215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pittura al di là delle Alpi: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Polittico dell’Adorazione dell’Agnello mistico </w:t>
      </w:r>
      <w:r w:rsidDel="00000000" w:rsidR="00000000" w:rsidRPr="00000000">
        <w:rPr>
          <w:sz w:val="24"/>
          <w:szCs w:val="24"/>
          <w:rtl w:val="0"/>
        </w:rPr>
        <w:t xml:space="preserve">di Gand di H. e Jan van Eyck, I coniugi Arnolfini di J. Van Eyck,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Annunciazione </w:t>
      </w:r>
      <w:r w:rsidDel="00000000" w:rsidR="00000000" w:rsidRPr="00000000">
        <w:rPr>
          <w:sz w:val="24"/>
          <w:szCs w:val="24"/>
          <w:rtl w:val="0"/>
        </w:rPr>
        <w:t xml:space="preserve">del Maestro di Flémalle, Deposizione di Rogier van der Weyden.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rPr/>
      </w:pPr>
      <w:r w:rsidDel="00000000" w:rsidR="00000000" w:rsidRPr="00000000">
        <w:rPr>
          <w:rtl w:val="0"/>
        </w:rPr>
        <w:t xml:space="preserve">Il secondo ‘400: l’arte delle Signorie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splendore della Signoria Medicea.</w:t>
      </w:r>
    </w:p>
    <w:p w:rsidR="00000000" w:rsidDel="00000000" w:rsidP="00000000" w:rsidRDefault="00000000" w:rsidRPr="00000000" w14:paraId="0000001F">
      <w:pPr>
        <w:spacing w:after="0" w:before="0" w:lineRule="auto"/>
        <w:ind w:left="212" w:right="21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Piero della Francesca, i trattati,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Battesimo di Cristo</w:t>
      </w:r>
      <w:r w:rsidDel="00000000" w:rsidR="00000000" w:rsidRPr="00000000">
        <w:rPr>
          <w:sz w:val="24"/>
          <w:szCs w:val="24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Flagellazione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Storie della Vera croce </w:t>
      </w:r>
      <w:r w:rsidDel="00000000" w:rsidR="00000000" w:rsidRPr="00000000">
        <w:rPr>
          <w:sz w:val="24"/>
          <w:szCs w:val="24"/>
          <w:rtl w:val="0"/>
        </w:rPr>
        <w:t xml:space="preserve">ad Arezzo,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Sacra conversazione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0" w:before="0" w:lineRule="auto"/>
        <w:ind w:left="212" w:right="0" w:firstLine="0"/>
        <w:jc w:val="both"/>
        <w:rPr>
          <w:sz w:val="24"/>
          <w:szCs w:val="24"/>
        </w:rPr>
        <w:sectPr>
          <w:pgSz w:h="16838" w:w="11906" w:orient="portrait"/>
          <w:pgMar w:bottom="280" w:top="1040" w:left="920" w:right="920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Sandro Botticelli: il disegno,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nascita di Venere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Primavera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Natività mistica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spacing w:after="0" w:before="75" w:lineRule="auto"/>
        <w:ind w:left="212" w:right="213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Antonello da Messina: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Gerolamo nello studiolo, il Ritratto di Giovane uomo e l’Annunciata. Andrea Mantegna: la Camera degli Sposi a Mantova e il Cristo morto. </w:t>
      </w:r>
      <w:r w:rsidDel="00000000" w:rsidR="00000000" w:rsidRPr="00000000">
        <w:rPr>
          <w:sz w:val="24"/>
          <w:szCs w:val="24"/>
          <w:rtl w:val="0"/>
        </w:rPr>
        <w:t xml:space="preserve">Giovanni Bellini: Pala di Pesaro, Pala di San Zaccaria, il ritratto del Doge Loredan.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ind w:left="212" w:right="216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Rinascimento maturo fiorentino: il Cinquecento. Le grandi personalità della Terza Maniera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Giorgio Vasari: 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Vite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Bramante. Tempietto di San Pietro in Montorio in relazione al dipinto di Raffaello lo</w:t>
      </w:r>
    </w:p>
    <w:p w:rsidR="00000000" w:rsidDel="00000000" w:rsidP="00000000" w:rsidRDefault="00000000" w:rsidRPr="00000000" w14:paraId="00000026">
      <w:pPr>
        <w:spacing w:after="0" w:before="1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Sposalizio della Vergine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7">
      <w:pPr>
        <w:spacing w:after="0" w:before="0" w:lineRule="auto"/>
        <w:ind w:left="212" w:right="21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Leonardo: il disegno, i codici, la fisiognomica, 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Annunciazione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Battesimo di Cristo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Adorazione dei pastori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Vergine delle rocce</w:t>
      </w:r>
      <w:r w:rsidDel="00000000" w:rsidR="00000000" w:rsidRPr="00000000">
        <w:rPr>
          <w:sz w:val="24"/>
          <w:szCs w:val="24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Cenacolo</w:t>
      </w:r>
      <w:r w:rsidDel="00000000" w:rsidR="00000000" w:rsidRPr="00000000">
        <w:rPr>
          <w:sz w:val="24"/>
          <w:szCs w:val="24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Gioconda</w:t>
      </w:r>
      <w:r w:rsidDel="00000000" w:rsidR="00000000" w:rsidRPr="00000000">
        <w:rPr>
          <w:sz w:val="24"/>
          <w:szCs w:val="24"/>
          <w:rtl w:val="0"/>
        </w:rPr>
        <w:t xml:space="preserve">, il cartone di Sant’Anna.</w:t>
      </w:r>
    </w:p>
    <w:p w:rsidR="00000000" w:rsidDel="00000000" w:rsidP="00000000" w:rsidRDefault="00000000" w:rsidRPr="00000000" w14:paraId="00000028">
      <w:pPr>
        <w:spacing w:after="0" w:before="0" w:lineRule="auto"/>
        <w:ind w:left="212" w:right="85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Michelangelo pittore: il disegno,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Tondo Doni, Cappella Sistina, volta e Giudizio</w:t>
      </w:r>
      <w:r w:rsidDel="00000000" w:rsidR="00000000" w:rsidRPr="00000000">
        <w:rPr>
          <w:sz w:val="24"/>
          <w:szCs w:val="24"/>
          <w:rtl w:val="0"/>
        </w:rPr>
        <w:t xml:space="preserve">. Michelangelo scultore: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Pietà di San Pietro, David, la Tomba di Giulio II </w:t>
      </w:r>
      <w:r w:rsidDel="00000000" w:rsidR="00000000" w:rsidRPr="00000000">
        <w:rPr>
          <w:sz w:val="24"/>
          <w:szCs w:val="24"/>
          <w:rtl w:val="0"/>
        </w:rPr>
        <w:t xml:space="preserve">(il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Mosè</w:t>
      </w:r>
      <w:r w:rsidDel="00000000" w:rsidR="00000000" w:rsidRPr="00000000">
        <w:rPr>
          <w:sz w:val="24"/>
          <w:szCs w:val="24"/>
          <w:rtl w:val="0"/>
        </w:rPr>
        <w:t xml:space="preserve">), le ultime Pietà (Bandini e Rondanini).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8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Raffaello: il disegno, Sposalizio della Vergine a confronto con Perugino, la Madonna del Belvedere e Madonna del Cardellino, Pala Baglioni, le Stanze Vaticane, analisi della Scuola di Atene.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tonale: Giorgione, La tempesta, La Venere dormiente in confronto alla Venere di Urbino di Tiziano. Tiziano, la Pala dell’Assunta.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Il Manierismo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Caratteristiche generali: la diaspora degli artisti. Pontormo e Rosso Fiorentino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Deposizioni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confronto).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Educazione civica: </w:t>
      </w:r>
      <w:r w:rsidDel="00000000" w:rsidR="00000000" w:rsidRPr="00000000">
        <w:rPr>
          <w:sz w:val="24"/>
          <w:szCs w:val="24"/>
          <w:rtl w:val="0"/>
        </w:rPr>
        <w:t xml:space="preserve">il Museo come luogo di conservazione, studio e riscoperta.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Rimini 0</w:t>
      </w:r>
      <w:r w:rsidDel="00000000" w:rsidR="00000000" w:rsidRPr="00000000">
        <w:rPr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/06/202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94"/>
        </w:tabs>
        <w:spacing w:after="0" w:before="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docente</w:t>
        <w:tab/>
        <w:t xml:space="preserve">Gli studenti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423788" y="3780000"/>
                          <a:ext cx="1012825" cy="0"/>
                        </a:xfrm>
                        <a:custGeom>
                          <a:rect b="b" l="l" r="r" t="t"/>
                          <a:pathLst>
                            <a:path extrusionOk="0" h="1" w="1012825">
                              <a:moveTo>
                                <a:pt x="0" y="0"/>
                              </a:moveTo>
                              <a:lnTo>
                                <a:pt x="335570" y="0"/>
                              </a:lnTo>
                              <a:close/>
                              <a:moveTo>
                                <a:pt x="337008" y="0"/>
                              </a:moveTo>
                              <a:lnTo>
                                <a:pt x="505693" y="0"/>
                              </a:lnTo>
                              <a:close/>
                              <a:moveTo>
                                <a:pt x="506772" y="0"/>
                              </a:moveTo>
                              <a:lnTo>
                                <a:pt x="759259" y="0"/>
                              </a:lnTo>
                              <a:close/>
                              <a:moveTo>
                                <a:pt x="760697" y="0"/>
                              </a:moveTo>
                              <a:lnTo>
                                <a:pt x="1012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40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83148" y="3780000"/>
                          <a:ext cx="1094105" cy="0"/>
                        </a:xfrm>
                        <a:custGeom>
                          <a:rect b="b" l="l" r="r" t="t"/>
                          <a:pathLst>
                            <a:path extrusionOk="0" h="1" w="1094105">
                              <a:moveTo>
                                <a:pt x="0" y="0"/>
                              </a:moveTo>
                              <a:lnTo>
                                <a:pt x="586423" y="0"/>
                              </a:lnTo>
                              <a:close/>
                              <a:moveTo>
                                <a:pt x="587861" y="0"/>
                              </a:moveTo>
                              <a:lnTo>
                                <a:pt x="756489" y="0"/>
                              </a:lnTo>
                              <a:close/>
                              <a:moveTo>
                                <a:pt x="757927" y="0"/>
                              </a:moveTo>
                              <a:lnTo>
                                <a:pt x="10937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40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nextPage"/>
      <w:pgSz w:h="16838" w:w="11906" w:orient="portrait"/>
      <w:pgMar w:bottom="280" w:top="1040" w:left="920" w:right="9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2913" w:hanging="54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●"/>
      <w:lvlJc w:val="left"/>
      <w:pPr>
        <w:ind w:left="3634" w:hanging="5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4349" w:hanging="5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5064" w:hanging="5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5779" w:hanging="5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6494" w:hanging="5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7208" w:hanging="5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923" w:hanging="5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638" w:hanging="5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2" w:right="0" w:firstLine="0"/>
      <w:jc w:val="both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bidi w:val="0"/>
      <w:spacing w:after="0" w:before="0" w:line="240" w:lineRule="auto"/>
      <w:ind w:left="0" w:right="0" w:hanging="0"/>
      <w:jc w:val="left"/>
    </w:pPr>
    <w:rPr>
      <w:rFonts w:ascii="Arial MT" w:cs="Arial MT" w:eastAsia="Arial MT" w:hAnsi="Arial MT"/>
      <w:color w:val="auto"/>
      <w:kern w:val="0"/>
      <w:sz w:val="22"/>
      <w:szCs w:val="22"/>
      <w:lang w:bidi="ar-SA" w:eastAsia="en-US" w:val="it-IT"/>
    </w:rPr>
  </w:style>
  <w:style w:type="paragraph" w:styleId="Titolo1">
    <w:name w:val="Heading 1"/>
    <w:basedOn w:val="Normal"/>
    <w:uiPriority w:val="1"/>
    <w:qFormat w:val="1"/>
    <w:pPr>
      <w:ind w:left="212" w:right="0" w:hanging="0"/>
      <w:jc w:val="both"/>
      <w:outlineLvl w:val="1"/>
    </w:pPr>
    <w:rPr>
      <w:rFonts w:ascii="Arial" w:cs="Arial" w:eastAsia="Arial" w:hAnsi="Arial"/>
      <w:b w:val="1"/>
      <w:bCs w:val="1"/>
      <w:sz w:val="24"/>
      <w:szCs w:val="24"/>
      <w:lang w:bidi="ar-SA" w:eastAsia="en-US" w:val="it-I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Mangal" w:eastAsia="Microsoft YaHei" w:hAnsi="Liberation Sans"/>
      <w:sz w:val="28"/>
      <w:szCs w:val="28"/>
    </w:rPr>
  </w:style>
  <w:style w:type="paragraph" w:styleId="Corpodeltesto">
    <w:name w:val="Body Text"/>
    <w:basedOn w:val="Normal"/>
    <w:uiPriority w:val="1"/>
    <w:qFormat w:val="1"/>
    <w:pPr/>
    <w:rPr>
      <w:rFonts w:ascii="Arial MT" w:cs="Arial MT" w:eastAsia="Arial MT" w:hAnsi="Arial MT"/>
      <w:sz w:val="24"/>
      <w:szCs w:val="24"/>
      <w:lang w:bidi="ar-SA" w:eastAsia="en-US" w:val="it-IT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Mang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spacing w:after="0" w:before="118"/>
      <w:ind w:left="752" w:right="0" w:hanging="541"/>
    </w:pPr>
    <w:rPr>
      <w:rFonts w:ascii="Arial" w:cs="Arial" w:eastAsia="Arial" w:hAnsi="Arial"/>
      <w:lang w:bidi="ar-SA" w:eastAsia="en-US" w:val="it-I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it-IT"/>
    </w:rPr>
  </w:style>
  <w:style w:type="paragraph" w:styleId="Contenutocornice">
    <w:name w:val="Contenuto cornice"/>
    <w:basedOn w:val="Normal"/>
    <w:qFormat w:val="1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bsuyi+yqccxmnzRCCaGbYmqvrw==">CgMxLjA4AHIhMVlrVEtIVm5MbjFPMlI3ZndaS0p2bDA1c2VMRVNoU0VH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2023-05-19T07:28:04Z</dcterms:created>
  <dc:creator>MARINI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2023-05-19T00:00:00Z</vt:filetime>
  </property>
</Properties>
</file>